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0"/>
          <w:szCs w:val="2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128905</wp:posOffset>
            </wp:positionH>
            <wp:positionV relativeFrom="paragraph">
              <wp:posOffset>163830</wp:posOffset>
            </wp:positionV>
            <wp:extent cx="1009650" cy="666750"/>
            <wp:effectExtent l="0" t="0" r="0" b="0"/>
            <wp:wrapTopAndBottom/>
            <wp:docPr id="1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REPUBLIKA  HRVATSKA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SPLITSKO-DALMATINSKA ŽUPANIJA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OPĆINA LOKVIČIĆI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OPĆINSKI NAČELNIK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KLASA :    </w:t>
      </w:r>
      <w:r>
        <w:rPr>
          <w:color w:val="000000" w:themeColor="text1"/>
          <w:sz w:val="20"/>
          <w:szCs w:val="20"/>
        </w:rPr>
        <w:t>035-02/20-01/01</w:t>
      </w:r>
    </w:p>
    <w:p>
      <w:pPr>
        <w:pStyle w:val="Normal"/>
        <w:rPr/>
      </w:pPr>
      <w:r>
        <w:rPr>
          <w:sz w:val="20"/>
          <w:szCs w:val="20"/>
        </w:rPr>
        <w:t xml:space="preserve">URBROJ : </w:t>
      </w:r>
      <w:r>
        <w:rPr>
          <w:color w:val="000000" w:themeColor="text1"/>
          <w:sz w:val="20"/>
          <w:szCs w:val="20"/>
        </w:rPr>
        <w:t>2129/08-02-</w:t>
      </w:r>
      <w:r>
        <w:rPr>
          <w:color w:val="000000" w:themeColor="text1"/>
          <w:sz w:val="20"/>
          <w:szCs w:val="20"/>
        </w:rPr>
        <w:t>20</w:t>
      </w:r>
      <w:r>
        <w:rPr>
          <w:color w:val="000000" w:themeColor="text1"/>
          <w:sz w:val="20"/>
          <w:szCs w:val="20"/>
        </w:rPr>
        <w:t>-01</w:t>
      </w:r>
    </w:p>
    <w:p>
      <w:pPr>
        <w:pStyle w:val="Normal"/>
        <w:numPr>
          <w:ilvl w:val="0"/>
          <w:numId w:val="0"/>
        </w:numPr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0"/>
          <w:szCs w:val="20"/>
        </w:rPr>
        <w:t>Lokvičići, 02.01.2020.godine</w:t>
      </w:r>
    </w:p>
    <w:p>
      <w:pPr>
        <w:pStyle w:val="NormalWeb"/>
        <w:spacing w:before="280" w:after="280"/>
        <w:rPr>
          <w:sz w:val="20"/>
          <w:szCs w:val="20"/>
        </w:rPr>
      </w:pPr>
      <w:r>
        <w:rPr>
          <w:sz w:val="20"/>
          <w:szCs w:val="20"/>
        </w:rPr>
        <w:t xml:space="preserve">Na temelju članka 4. i 5. Pravilnika o jedinstvenim klasifikacijskim oznakama i brojčanim oznakama stvaratelja i primatelja akata (»Narodne novine« broj 38/88 i 75/93) i članka 47.Statuta Općine Lokvičići (Službeni glasnik Općine Lokvičići  1/13),Općinski načelnik općine Lokvičići dana 02.01.2019. godine  donio je 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RJEŠENJE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 utvrđivanju brojčanih oznaka stvaratelja i primatelja akata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1.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Ovim rješenjem utvrđuju se brojčane oznake za Općinsko vijeće, Općinskog načelnika i Jedinstveni upravni odjel Općine kao stvaratelje i primatelje akata tijekom 2020. godine.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2.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Općina Lokvičići, u uredskom poslovanju rabit će oznaku 2129/08.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3.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Sukladno čl. 1. Ovog Rješenja u uredskom poslovanju u Općini  Lokvičići rabit će se sljedeće oznake: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2129/08-01 - </w:t>
      </w:r>
      <w:r>
        <w:rPr>
          <w:rFonts w:cs="Times New Roman" w:ascii="Times New Roman" w:hAnsi="Times New Roman"/>
          <w:bCs/>
          <w:sz w:val="20"/>
          <w:szCs w:val="20"/>
        </w:rPr>
        <w:t>Općinsko vijeće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2129/08-02 - </w:t>
      </w:r>
      <w:r>
        <w:rPr>
          <w:rFonts w:cs="Times New Roman" w:ascii="Times New Roman" w:hAnsi="Times New Roman"/>
          <w:bCs/>
          <w:sz w:val="20"/>
          <w:szCs w:val="20"/>
        </w:rPr>
        <w:t>Općinski načelnik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2129/08-03 - </w:t>
      </w:r>
      <w:r>
        <w:rPr>
          <w:rFonts w:cs="Times New Roman" w:ascii="Times New Roman" w:hAnsi="Times New Roman"/>
          <w:bCs/>
          <w:sz w:val="20"/>
          <w:szCs w:val="20"/>
        </w:rPr>
        <w:t>Jedinstveni upravni odjel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4.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Brojčane oznake unutarnje ustrojstvene jedinice unutar upravnog tijela Općine i brojčane oznake stvaratelja i primatelja akata sukladno Pravilniku o unutarnjem redu Općine Lokvičići odredit će se Planom klasifikacijskih oznaka i brojčanih oznaka stvaratelja i primatelja akata za 2020. godinu.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5.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Ovo rješenje stupa na snagu 01. 01. 2020. godine, a objavit će se u „Službenom glasniku Općine Lokvičići“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Općinski načelnik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Branko Knezović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113665</wp:posOffset>
            </wp:positionH>
            <wp:positionV relativeFrom="paragraph">
              <wp:posOffset>37465</wp:posOffset>
            </wp:positionV>
            <wp:extent cx="1009650" cy="666750"/>
            <wp:effectExtent l="0" t="0" r="0" b="0"/>
            <wp:wrapTopAndBottom/>
            <wp:docPr id="2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EPUBLIKA  HRVATSKA</w:t>
      </w:r>
    </w:p>
    <w:p>
      <w:pPr>
        <w:pStyle w:val="Normal"/>
        <w:numPr>
          <w:ilvl w:val="0"/>
          <w:numId w:val="0"/>
        </w:numPr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SPLITSKO- DALMATINSKA ŽUPANIJA</w:t>
      </w:r>
    </w:p>
    <w:p>
      <w:pPr>
        <w:pStyle w:val="Normal"/>
        <w:numPr>
          <w:ilvl w:val="0"/>
          <w:numId w:val="0"/>
        </w:numPr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OPĆINA LOKVIČIĆI</w:t>
      </w:r>
    </w:p>
    <w:p>
      <w:pPr>
        <w:pStyle w:val="Normal"/>
        <w:numPr>
          <w:ilvl w:val="0"/>
          <w:numId w:val="0"/>
        </w:numPr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OPĆINSKI NAČELNIK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/>
      </w:pPr>
      <w:r>
        <w:rPr>
          <w:color w:val="000000" w:themeColor="text1"/>
          <w:sz w:val="20"/>
          <w:szCs w:val="20"/>
        </w:rPr>
        <w:t>KLASA :   035-02/20-02/02</w:t>
      </w:r>
    </w:p>
    <w:p>
      <w:pPr>
        <w:pStyle w:val="Normal"/>
        <w:rPr/>
      </w:pPr>
      <w:r>
        <w:rPr>
          <w:color w:val="000000" w:themeColor="text1"/>
          <w:sz w:val="20"/>
          <w:szCs w:val="20"/>
        </w:rPr>
        <w:t>URBROJ : 2129/08-02-20-01</w:t>
      </w:r>
    </w:p>
    <w:p>
      <w:pPr>
        <w:pStyle w:val="Normal"/>
        <w:numPr>
          <w:ilvl w:val="0"/>
          <w:numId w:val="0"/>
        </w:numPr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0"/>
          <w:szCs w:val="20"/>
        </w:rPr>
        <w:t>Lokvičići, 02.01.2020.godine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Temeljem članka 18. st. 3. Uredbe o uredskom poslovanju (“Narodne novine”, br. 7/09), odredbi Pravilnika o jedinstvenim klasifikacijskim oznakama i brojčanim oznakama stvaralaca i primalaca akata (“Narodne novine”, br. 38/88) te članka 47. Statuta Općine Lokvičići (Službeni glasnik Općine Lokvičići 1/13), Općinski načelnik Općine Lokvičići dana 02. 01. 2020. godine  donio je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PLAN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Klasifikacijskih oznaka i brojčanih oznaka 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stvaratelja i primatelja akata za 2020. godinu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1.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Planom klasifikacijskih oznaka i brojčanih akata stvaratelja i primatelja akata za 2020. godinu utvrđuju se klasifikacijske oznake sadržaja akata Općinskog načelnika, Općinskog vijeća i upravnog tijela općine Lokvičići, te brojčane oznake stvaratelja i primatelja akata upravnog tijela.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2.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Ovim planom se utvrđuju klasifikacije po sadržaju i broju dosjea koji proizlaze iz djelokruga rada tijela iz čl. 1. Plana, a koristit će se u određivanju klasifikacijske oznake, kao brojčane oznake predmeta, na pojedinim vlastitim i primljenim aktima u razdoblju od  01.01.2020. godine, kako slijedi: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7"/>
        <w:gridCol w:w="979"/>
        <w:gridCol w:w="7032"/>
      </w:tblGrid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Oznaka klasifikacije po sadržaju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dosjea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djelatnosti unutar podgrupe</w:t>
            </w:r>
          </w:p>
        </w:tc>
      </w:tr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006-01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Političke stranke</w:t>
            </w:r>
            <w:r>
              <w:rPr>
                <w:sz w:val="20"/>
                <w:szCs w:val="20"/>
              </w:rPr>
              <w:t xml:space="preserve"> -općenito</w:t>
            </w:r>
          </w:p>
        </w:tc>
      </w:tr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007-01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Udruge</w:t>
            </w:r>
            <w:r>
              <w:rPr>
                <w:sz w:val="20"/>
                <w:szCs w:val="20"/>
              </w:rPr>
              <w:t xml:space="preserve"> -općenito</w:t>
            </w:r>
          </w:p>
        </w:tc>
      </w:tr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012-03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Statuti</w:t>
            </w:r>
          </w:p>
        </w:tc>
      </w:tr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013-01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Izbori</w:t>
            </w:r>
            <w:r>
              <w:rPr>
                <w:sz w:val="20"/>
                <w:szCs w:val="20"/>
              </w:rPr>
              <w:t xml:space="preserve"> -općenito</w:t>
            </w:r>
          </w:p>
        </w:tc>
      </w:tr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013-02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Birački popisi</w:t>
            </w:r>
          </w:p>
        </w:tc>
      </w:tr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014-01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Referendum</w:t>
            </w:r>
            <w:r>
              <w:rPr>
                <w:sz w:val="20"/>
                <w:szCs w:val="20"/>
              </w:rPr>
              <w:t xml:space="preserve"> – općenito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57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9"/>
        <w:gridCol w:w="991"/>
        <w:gridCol w:w="7017"/>
      </w:tblGrid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Oznaka klasifikacije po sadržaju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dosjea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djelatnosti unutar podgrupe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021-05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Općinsko vijeće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021-06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Općinsko vijeće</w:t>
            </w:r>
            <w:r>
              <w:rPr>
                <w:sz w:val="20"/>
                <w:szCs w:val="20"/>
              </w:rPr>
              <w:t>- radna tijela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022-03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 xml:space="preserve">Jedinstveni upravni odjel - </w:t>
            </w:r>
            <w:r>
              <w:rPr>
                <w:b w:val="false"/>
                <w:bCs w:val="false"/>
                <w:sz w:val="20"/>
                <w:szCs w:val="20"/>
              </w:rPr>
              <w:t>ostalo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022-05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Općinski načelnik</w:t>
            </w:r>
            <w:r>
              <w:rPr>
                <w:sz w:val="20"/>
                <w:szCs w:val="20"/>
              </w:rPr>
              <w:t xml:space="preserve"> – odluke, suglasnosti, imenovanja, odobrenja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022-06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Općinski načelnik</w:t>
            </w:r>
            <w:r>
              <w:rPr>
                <w:sz w:val="20"/>
                <w:szCs w:val="20"/>
              </w:rPr>
              <w:t xml:space="preserve"> - ugovori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026-01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rad mjesnih odbora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034-01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– upravni postupak i upravni spor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034-04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Izdavanje uvjerenja i potvrda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035-01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Uredsko poslovanje </w:t>
            </w:r>
            <w:r>
              <w:rPr>
                <w:sz w:val="20"/>
                <w:szCs w:val="20"/>
              </w:rPr>
              <w:t>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Klasifikacijske oznake i urudžbeni brojevi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Pečati, žigovi i štambilji</w:t>
            </w:r>
            <w:r>
              <w:rPr>
                <w:sz w:val="20"/>
                <w:szCs w:val="20"/>
              </w:rPr>
              <w:t xml:space="preserve"> 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038-02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Odobrenja za izradu pečata i žigova s grbom RH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041-02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nadzor nad zakonitošću rada- pojedinačni predmeti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042-01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Inspekcijski nadzor</w:t>
            </w:r>
            <w:r>
              <w:rPr>
                <w:sz w:val="20"/>
                <w:szCs w:val="20"/>
              </w:rPr>
              <w:t>-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043-02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Upravna inspekcija</w:t>
            </w:r>
            <w:r>
              <w:rPr>
                <w:sz w:val="20"/>
                <w:szCs w:val="20"/>
              </w:rPr>
              <w:t>- pojedinačni predmeti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050-02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Predstavke i pritužbe na rad općinske uprave </w:t>
            </w:r>
            <w:r>
              <w:rPr>
                <w:sz w:val="20"/>
                <w:szCs w:val="20"/>
              </w:rPr>
              <w:t>–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053-01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Općenito molbe i prijedlozi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080-01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Općinska uprava, službenici i namještenici</w:t>
            </w:r>
            <w:r>
              <w:rPr>
                <w:sz w:val="20"/>
                <w:szCs w:val="20"/>
              </w:rPr>
              <w:t xml:space="preserve"> 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Ocjenjivanje rada službenika i namještenika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110-01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Radni odnosi</w:t>
            </w:r>
            <w:r>
              <w:rPr>
                <w:sz w:val="20"/>
                <w:szCs w:val="20"/>
              </w:rPr>
              <w:t xml:space="preserve"> –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112-01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Zasnivanje i prestanak radnog odnosa,ugovor o djelu dopunski rad-</w:t>
            </w:r>
            <w:r>
              <w:rPr>
                <w:sz w:val="20"/>
                <w:szCs w:val="20"/>
              </w:rPr>
              <w:t>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Zasnivanje radnog odnosa na neodređeno vrijeme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Zasnivanje radnog odnosa na određeno vrijeme 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 o djelu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Prijam vježbenika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113-01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Radno vrijeme odmori, dopusti i bolovanja, obustave rada</w:t>
            </w:r>
            <w:r>
              <w:rPr>
                <w:sz w:val="20"/>
                <w:szCs w:val="20"/>
              </w:rPr>
              <w:t xml:space="preserve"> – općenito 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Godišnji domori</w:t>
            </w:r>
            <w:r>
              <w:rPr>
                <w:sz w:val="20"/>
                <w:szCs w:val="20"/>
              </w:rPr>
              <w:t>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</w:t>
            </w:r>
            <w:r>
              <w:rPr>
                <w:sz w:val="20"/>
                <w:szCs w:val="20"/>
              </w:rPr>
              <w:t xml:space="preserve"> 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materijalna prava službenika i namještenika-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115-01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Zaštita na radu</w:t>
            </w:r>
            <w:r>
              <w:rPr>
                <w:sz w:val="20"/>
                <w:szCs w:val="20"/>
              </w:rPr>
              <w:t xml:space="preserve"> – općenito 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132-01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Stručna praksa</w:t>
            </w:r>
            <w:r>
              <w:rPr>
                <w:sz w:val="20"/>
                <w:szCs w:val="20"/>
              </w:rPr>
              <w:t xml:space="preserve"> -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133-02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i pravosudni ispit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320-01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Poljoprivreda</w:t>
            </w:r>
            <w:r>
              <w:rPr>
                <w:sz w:val="20"/>
                <w:szCs w:val="20"/>
              </w:rPr>
              <w:t xml:space="preserve"> – poljoprivredno zemljište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Vodoprivreda</w:t>
            </w:r>
            <w:r>
              <w:rPr>
                <w:sz w:val="20"/>
                <w:szCs w:val="20"/>
              </w:rPr>
              <w:t xml:space="preserve"> – općenito 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350-01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Prostorno uređenje</w:t>
            </w:r>
            <w:r>
              <w:rPr>
                <w:sz w:val="20"/>
                <w:szCs w:val="20"/>
              </w:rPr>
              <w:t xml:space="preserve"> –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350-02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Prostorni planovi; primjedbe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350-03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Prostorno - planska dokumentacija – obavijest o podacima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poslovi</w:t>
            </w:r>
            <w:r>
              <w:rPr>
                <w:sz w:val="20"/>
                <w:szCs w:val="20"/>
              </w:rPr>
              <w:t xml:space="preserve"> – općenito 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Izgradnja objekata</w:t>
            </w:r>
            <w:r>
              <w:rPr>
                <w:sz w:val="20"/>
                <w:szCs w:val="20"/>
              </w:rPr>
              <w:t xml:space="preserve"> 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Rješenje o obračunu naknade za zadržavanje nezakonito izgrađene zgrade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361-07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šteta od elementarnih nepogoda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363-01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Komunalni poslovi</w:t>
            </w:r>
            <w:r>
              <w:rPr>
                <w:sz w:val="20"/>
                <w:szCs w:val="20"/>
              </w:rPr>
              <w:t xml:space="preserve"> -općenito 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  <w:r>
              <w:rPr>
                <w:sz w:val="20"/>
                <w:szCs w:val="20"/>
              </w:rPr>
              <w:t xml:space="preserve"> - rješenja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363-04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Komunalno redarstvo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Grobna naknada</w:t>
            </w:r>
            <w:r>
              <w:rPr>
                <w:sz w:val="20"/>
                <w:szCs w:val="20"/>
              </w:rPr>
              <w:t xml:space="preserve"> – rješenja 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372-03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zakup poslovnog prostora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400-01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Financijsko planski dokumenti</w:t>
            </w:r>
            <w:r>
              <w:rPr>
                <w:sz w:val="20"/>
                <w:szCs w:val="20"/>
              </w:rPr>
              <w:t xml:space="preserve"> –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400-02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planovi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400-08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401-03</w:t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Računi ulazni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Knjigovodstveno - računovodstveno poslovanje - općenito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401-03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Računi izlazni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406-01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imovinom i nabave imovine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406-03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sredstva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415-01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Naplaćivanje poreza, doprinosa i drugih obaveza –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Socijala zaštita – općenito 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Predškolski odgoj – općenito 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Kulturne djelatnosti 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Odvjetništvo i pravna pomoć – općenito 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Civilna zaštita 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Građevinsko zemljište - općenito</w:t>
            </w:r>
          </w:p>
        </w:tc>
      </w:tr>
      <w:tr>
        <w:trPr/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958-01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Statistički podaci – općenito 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Članak 3.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Ovim planom određuju se i brojčane oznake unutarnje organizacijske jedinice unutar upravnog tijela Općine i brojčane oznake stvaratelja i primatelja akata sukladno Pravilniku o unutarnjem redu Jedinstvenog upravnog odjela Općine Lokvičići kako slijedi: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09"/>
        <w:gridCol w:w="2976"/>
        <w:gridCol w:w="2803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upravnog tijela/ Čelnika/ Radnog mjesta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upravnog tijela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službenika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upravni odjel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Pročelnik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/01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računovodstva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/02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Viši referent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/03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 za opće i komunalne poslove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/04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Komunalni redar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/05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Članak 4.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Ovaj plan se primjenjuje od 01. siječnja. 2020. godine, a objavit će se u  „Službenom glasniku Općine Lokvičići“.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ind w:left="4956" w:firstLine="708"/>
        <w:rPr>
          <w:sz w:val="20"/>
          <w:szCs w:val="20"/>
        </w:rPr>
      </w:pPr>
      <w:r>
        <w:rPr>
          <w:sz w:val="20"/>
          <w:szCs w:val="20"/>
        </w:rPr>
        <w:t>Općinski načelnik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Branko Knezović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0b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d0b54"/>
    <w:rPr>
      <w:rFonts w:ascii="Tahoma" w:hAnsi="Tahoma" w:eastAsia="Times New Roman" w:cs="Tahoma"/>
      <w:sz w:val="16"/>
      <w:szCs w:val="16"/>
      <w:lang w:eastAsia="hr-HR"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795c11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795c11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bd0b54"/>
    <w:pPr>
      <w:spacing w:beforeAutospacing="1" w:afterAutospacing="1"/>
    </w:pPr>
    <w:rPr>
      <w:rFonts w:eastAsia="Calibri"/>
    </w:rPr>
  </w:style>
  <w:style w:type="paragraph" w:styleId="ListParagraph">
    <w:name w:val="List Paragraph"/>
    <w:basedOn w:val="Normal"/>
    <w:qFormat/>
    <w:rsid w:val="00bd0b54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d0b54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semiHidden/>
    <w:unhideWhenUsed/>
    <w:rsid w:val="00795c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795c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E670-6154-4352-A0AF-6181EFB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LibreOffice/6.3.4.2$Windows_X86_64 LibreOffice_project/60da17e045e08f1793c57c00ba83cdfce946d0aa</Application>
  <Pages>4</Pages>
  <Words>907</Words>
  <Characters>5612</Characters>
  <CharactersWithSpaces>6355</CharactersWithSpaces>
  <Paragraphs>273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2019-06-21T11:43:00Z</dcterms:created>
  <dc:creator>user</dc:creator>
  <dc:description/>
  <dc:language>hr-HR</dc:language>
  <cp:lastModifiedBy/>
  <cp:lastPrinted>2020-01-07T13:04:57Z</cp:lastPrinted>
  <dcterms:modified xsi:type="dcterms:W3CDTF">2020-01-07T13:05:42Z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