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783275" w14:paraId="5DEB1890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D5CB176" w14:textId="77777777" w:rsidR="00783275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1810F747" w14:textId="77777777" w:rsidR="00783275" w:rsidRDefault="00000000">
            <w:pPr>
              <w:spacing w:after="0" w:line="240" w:lineRule="auto"/>
            </w:pPr>
            <w:r>
              <w:t>30339</w:t>
            </w:r>
          </w:p>
        </w:tc>
      </w:tr>
      <w:tr w:rsidR="00783275" w14:paraId="31F3CFFB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F1A27E1" w14:textId="77777777" w:rsidR="00783275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97894DD" w14:textId="77777777" w:rsidR="00783275" w:rsidRDefault="00000000">
            <w:pPr>
              <w:spacing w:after="0" w:line="240" w:lineRule="auto"/>
            </w:pPr>
            <w:r>
              <w:t>OPĆINA LOKVIČIĆI</w:t>
            </w:r>
          </w:p>
        </w:tc>
      </w:tr>
      <w:tr w:rsidR="00783275" w14:paraId="3347EE1C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17EA706" w14:textId="77777777" w:rsidR="00783275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22DA7F07" w14:textId="77777777" w:rsidR="00783275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69867559" w14:textId="77777777" w:rsidR="00783275" w:rsidRDefault="00000000">
      <w:r>
        <w:br/>
      </w:r>
    </w:p>
    <w:p w14:paraId="6650B49E" w14:textId="77777777" w:rsidR="00783275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412DF0B5" w14:textId="77777777" w:rsidR="00783275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A782B65" w14:textId="77777777" w:rsidR="00783275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0F257ACA" w14:textId="77777777" w:rsidR="00783275" w:rsidRDefault="00783275"/>
    <w:p w14:paraId="2BE45A98" w14:textId="77777777" w:rsidR="00783275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7274506F" w14:textId="77777777" w:rsidR="00783275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275" w14:paraId="1D7F149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3E9CA5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0C5C8E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477BBE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62FECB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D57243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8D36E1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275" w14:paraId="7502943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4640FF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384370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80007F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9FD5B0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900.354,17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D59AB4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1.048.925,14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9CB617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116,5</w:t>
            </w:r>
          </w:p>
        </w:tc>
      </w:tr>
      <w:tr w:rsidR="00783275" w14:paraId="19495DA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FD6948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BCE4DE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A50047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085F4A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333.271,19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3C55E6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444.440,46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B84559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133,4</w:t>
            </w:r>
          </w:p>
        </w:tc>
      </w:tr>
      <w:tr w:rsidR="00783275" w14:paraId="1559888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9A5584" w14:textId="77777777" w:rsidR="00783275" w:rsidRDefault="0078327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CF62DF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10EE83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9AE7D6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567.082,98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BCEB31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604.484,68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976063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106,6</w:t>
            </w:r>
          </w:p>
        </w:tc>
      </w:tr>
      <w:tr w:rsidR="00783275" w14:paraId="4B9B754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D7E70F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C7E485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969363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A12B56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084B12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34E0A9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  <w:tr w:rsidR="00783275" w14:paraId="62F689D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EE31DB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FB5FF9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9D9CE2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988A9B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481.016,81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0A2391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608.204,15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03418D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126,4</w:t>
            </w:r>
          </w:p>
        </w:tc>
      </w:tr>
      <w:tr w:rsidR="00783275" w14:paraId="73753F5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12480F" w14:textId="77777777" w:rsidR="00783275" w:rsidRDefault="0078327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632A37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572D64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750BA7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478.316,81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4CD398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605.504,15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5E4477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126,6</w:t>
            </w:r>
          </w:p>
        </w:tc>
      </w:tr>
      <w:tr w:rsidR="00783275" w14:paraId="6D42120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0B58E6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5E523C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85AA2E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DE6D38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10D442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ABDCCA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83275" w14:paraId="664A6AF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BAEF9D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8715C2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5A5E0A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D65FB5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12.026,96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224D76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02963E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783275" w14:paraId="2B6A03D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F75B07" w14:textId="77777777" w:rsidR="00783275" w:rsidRDefault="0078327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6C03B1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PRIMITAKA OD FINANCIJSKE IMOVINE I ZADUŽIVANJA (šifre 8-5)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D68992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6891F0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B36D3E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72C12E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83275" w14:paraId="29E5DBC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22FC65" w14:textId="77777777" w:rsidR="00783275" w:rsidRDefault="0078327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3970A0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A2A455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87348A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76.739,21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F73592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38.980,53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CF1F05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50,8</w:t>
            </w:r>
          </w:p>
        </w:tc>
      </w:tr>
    </w:tbl>
    <w:p w14:paraId="722C6C41" w14:textId="77777777" w:rsidR="00783275" w:rsidRDefault="00783275">
      <w:pPr>
        <w:spacing w:after="0"/>
      </w:pPr>
    </w:p>
    <w:p w14:paraId="2D41DE18" w14:textId="77777777" w:rsidR="00783275" w:rsidRDefault="00000000">
      <w:r>
        <w:t>U razdoblju od 1. siječnja do 31. prosinca ukupni prihodi poslovanja ostvareni su u iznosu od 1.048.925,14 EUR, što je povećanje za 16,5% u odnosu na prethodno razdoblje. Ukupni rashodi poslovanja ostvareni su u iznosu od 444.440,46 eura, što je povećanje za 33,4% u odnosu na prethodno razdoblje. Ostvaren je prihod poslovanja od 604.484,64 eura.</w:t>
      </w:r>
    </w:p>
    <w:p w14:paraId="52F20886" w14:textId="77777777" w:rsidR="00783275" w:rsidRDefault="00000000">
      <w:r>
        <w:t xml:space="preserve">U promatranom razdoblju ukupni prihodi od prodaje nefinancijske imovine ostvareni su u iznosu od 2.700,00 eura što je prihod prodaje jednog grobnog mjesta. Ukupni rashodi za </w:t>
      </w:r>
      <w:r>
        <w:lastRenderedPageBreak/>
        <w:t>nabavu nefinancijske imovine iznose 608.204,15 eura što je povećanje u odnosu na prethodno razdoblje, zbog povećanja investicijskih aktivnosti što je rezultiralo manjkom prihoda od nefinancijske imovine u iznosu od 605.504,15 eura. </w:t>
      </w:r>
    </w:p>
    <w:p w14:paraId="2A3DD34C" w14:textId="77777777" w:rsidR="00783275" w:rsidRDefault="00000000">
      <w:r>
        <w:t>U razdoblju od 1. siječnja do 31. prosinca ostvareni su primici  izdaci od financijske imovine i zaduživanja zatražen je odobreni minus od banke u iznosu od 40.000, 00 eura, koji dospijeva na plaćanje u siječnju 2026. godine.  U promatranom razdoblju ostvaren je višak prihoda i primitaka od 38.980,53 eura. </w:t>
      </w:r>
    </w:p>
    <w:p w14:paraId="20DFE38D" w14:textId="77777777" w:rsidR="00783275" w:rsidRDefault="00000000">
      <w:r>
        <w:br/>
      </w:r>
    </w:p>
    <w:p w14:paraId="48296300" w14:textId="77777777" w:rsidR="00783275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275" w14:paraId="3B87036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C7DB7A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3BC769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5DFD28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C5C4AB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16A57E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D7B6A7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275" w14:paraId="068AF40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996A7E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973DD7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2C2152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0713D0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900.354,17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900845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1.048.925,14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9A4D0E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116,5</w:t>
            </w:r>
          </w:p>
        </w:tc>
      </w:tr>
    </w:tbl>
    <w:p w14:paraId="1BC026CE" w14:textId="77777777" w:rsidR="00783275" w:rsidRDefault="00783275">
      <w:pPr>
        <w:spacing w:after="0"/>
      </w:pPr>
    </w:p>
    <w:p w14:paraId="359D6F26" w14:textId="77777777" w:rsidR="00783275" w:rsidRDefault="00000000">
      <w:r>
        <w:t>Prihodi poslovanja ostvareni su u iznosu od 1.048.925,14 eura, što je povećanje od 16,5%. Najznačajniji prihodi su prihodi od poreza na dohodak.  </w:t>
      </w:r>
    </w:p>
    <w:p w14:paraId="73BDD520" w14:textId="77777777" w:rsidR="00783275" w:rsidRDefault="00783275"/>
    <w:p w14:paraId="54A62209" w14:textId="77777777" w:rsidR="00783275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275" w14:paraId="33AAC20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74A564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F992F2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87086F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5B5ED8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525A1C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57D59D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275" w14:paraId="2EE58EA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E23FCA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B5F987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Porezi na imovinu (šifre 6131 do 6135)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32A562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FF6550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2.077,55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DE7731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3.909,68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8F776E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188,2</w:t>
            </w:r>
          </w:p>
        </w:tc>
      </w:tr>
    </w:tbl>
    <w:p w14:paraId="379D7DE5" w14:textId="77777777" w:rsidR="00783275" w:rsidRDefault="00783275">
      <w:pPr>
        <w:spacing w:after="0"/>
      </w:pPr>
    </w:p>
    <w:p w14:paraId="2FF39801" w14:textId="77777777" w:rsidR="00783275" w:rsidRDefault="00000000">
      <w:r>
        <w:t>Povremeni porezi na imovinu su povećani u odnosu na prethodno razdoblje za 88,2% jer je došlo do povećanja poreza na promet nekretnina. </w:t>
      </w:r>
    </w:p>
    <w:p w14:paraId="2F1B21BA" w14:textId="77777777" w:rsidR="00783275" w:rsidRDefault="00783275"/>
    <w:p w14:paraId="3EE99B5C" w14:textId="77777777" w:rsidR="00783275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275" w14:paraId="521801F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F9FA81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0BF7C9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2DBA74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56C54B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DB76DB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6B9AA3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275" w14:paraId="5FC861C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10DECF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40A93A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od institucija i tijela EU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A903FE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0AECA8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57.600,00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25CA82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91.181,52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D6E97E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158,3</w:t>
            </w:r>
          </w:p>
        </w:tc>
      </w:tr>
    </w:tbl>
    <w:p w14:paraId="255D36A4" w14:textId="77777777" w:rsidR="00783275" w:rsidRDefault="00783275">
      <w:pPr>
        <w:spacing w:after="0"/>
      </w:pPr>
    </w:p>
    <w:p w14:paraId="0405EF66" w14:textId="77777777" w:rsidR="00783275" w:rsidRDefault="00000000">
      <w:r>
        <w:t>Tekuće pomoći od institucija i tijela Eu se odnose na financiranje Programa Zaželi. U promatranom razdoblju došlo je do povećanja SVJT iznosa u odnosu na prethodno razdoblje. </w:t>
      </w:r>
    </w:p>
    <w:p w14:paraId="72BDC9E8" w14:textId="77777777" w:rsidR="00783275" w:rsidRDefault="00783275"/>
    <w:p w14:paraId="75F7CFC6" w14:textId="77777777" w:rsidR="00783275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275" w14:paraId="7D10B92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EAE0EE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C3E9FE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F4A5D1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8A1605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7BA884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FC9C9B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275" w14:paraId="74501B9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9CEF82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9D00F3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izravnanja za decentralizirane funkcije i fiskalnog izravnanja (šifre 6351 do 6353)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3A695B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E8A44C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F3C216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194.319,58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69B4F5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03EF148" w14:textId="77777777" w:rsidR="00783275" w:rsidRDefault="00783275">
      <w:pPr>
        <w:spacing w:after="0"/>
      </w:pPr>
    </w:p>
    <w:p w14:paraId="49BB1C04" w14:textId="6397991F" w:rsidR="00783275" w:rsidRDefault="00000000">
      <w:r>
        <w:t>Pomoći izravn</w:t>
      </w:r>
      <w:r w:rsidR="00B4174D">
        <w:t>a</w:t>
      </w:r>
      <w:r>
        <w:t>nja za de</w:t>
      </w:r>
      <w:r w:rsidR="00B4174D">
        <w:t>c</w:t>
      </w:r>
      <w:r>
        <w:t>entralizirane funkcije i fisk</w:t>
      </w:r>
      <w:r w:rsidR="00B4174D">
        <w:t>a</w:t>
      </w:r>
      <w:r>
        <w:t>lnog izravnanja su povećane u odnosu na prethodno razdoblje jer je u promat</w:t>
      </w:r>
      <w:r w:rsidR="00B4174D">
        <w:t>ra</w:t>
      </w:r>
      <w:r>
        <w:t>nom razdoblju došlo do promjene načina knjiženja pomoći od fiskalnog izravnanja pomoći. </w:t>
      </w:r>
    </w:p>
    <w:p w14:paraId="2A2E9C85" w14:textId="77777777" w:rsidR="00783275" w:rsidRDefault="00783275"/>
    <w:p w14:paraId="593776B4" w14:textId="77777777" w:rsidR="00783275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275" w14:paraId="2AB0796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D1AFCE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52588F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1C6746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B2D5E7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C4C0ED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2A4547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275" w14:paraId="71BDF1B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2F3320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C92C03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Komunalni doprinosi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AA63AE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BED5F7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337,30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2330B6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1070A2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1EEF8EF1" w14:textId="77777777" w:rsidR="00783275" w:rsidRDefault="00783275">
      <w:pPr>
        <w:spacing w:after="0"/>
      </w:pPr>
    </w:p>
    <w:p w14:paraId="674B7EB4" w14:textId="660A2206" w:rsidR="00783275" w:rsidRDefault="00000000">
      <w:r>
        <w:t>Obračuna komunalnih doprinosa u promatr</w:t>
      </w:r>
      <w:r w:rsidR="00B4174D">
        <w:t>a</w:t>
      </w:r>
      <w:r>
        <w:t>nom razdoblju nije bilo, pa samim tim nije bilo ni uplata. </w:t>
      </w:r>
    </w:p>
    <w:p w14:paraId="5648A059" w14:textId="77777777" w:rsidR="00783275" w:rsidRDefault="00783275"/>
    <w:p w14:paraId="3B3C51D2" w14:textId="77777777" w:rsidR="00783275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275" w14:paraId="67F9315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1BB6D0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411505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D010ED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25F8BE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C43DAE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7F1FF1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275" w14:paraId="05FE17E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E60FA6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F32C9E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039704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C56AB2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6.903,99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9AD3E8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7.699,06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C02953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111,5</w:t>
            </w:r>
          </w:p>
        </w:tc>
      </w:tr>
    </w:tbl>
    <w:p w14:paraId="7FE84B47" w14:textId="77777777" w:rsidR="00783275" w:rsidRDefault="00783275">
      <w:pPr>
        <w:spacing w:after="0"/>
      </w:pPr>
    </w:p>
    <w:p w14:paraId="0D9CCE22" w14:textId="36A51477" w:rsidR="00783275" w:rsidRDefault="00000000">
      <w:r>
        <w:t>Komunalne naknade su u promatr</w:t>
      </w:r>
      <w:r w:rsidR="00B4174D">
        <w:t>a</w:t>
      </w:r>
      <w:r>
        <w:t>nom razdoblju povećane uslijed povećanja naplate grobne naknade. </w:t>
      </w:r>
    </w:p>
    <w:p w14:paraId="539C9670" w14:textId="77777777" w:rsidR="00783275" w:rsidRDefault="00783275"/>
    <w:p w14:paraId="39442759" w14:textId="77777777" w:rsidR="00783275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275" w14:paraId="002FCD4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A640F3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1665EC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50D8AF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95BC7E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6CFEA0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70F33A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275" w14:paraId="2FF8F22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E27156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22BC99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A9FEF7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A72B36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319C85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8.814,76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4E755A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C6DE6AD" w14:textId="77777777" w:rsidR="00783275" w:rsidRDefault="00783275">
      <w:pPr>
        <w:spacing w:after="0"/>
      </w:pPr>
    </w:p>
    <w:p w14:paraId="1F37835F" w14:textId="77777777" w:rsidR="00783275" w:rsidRDefault="00000000">
      <w:r>
        <w:t>Ostali prihodi su uplate za namirenje troškova provedbe lokanih izbora. </w:t>
      </w:r>
    </w:p>
    <w:p w14:paraId="2FB78531" w14:textId="77777777" w:rsidR="00783275" w:rsidRDefault="00783275"/>
    <w:p w14:paraId="2E7D6CB0" w14:textId="77777777" w:rsidR="00783275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275" w14:paraId="15E7E69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BF6525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9801AC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851D64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C5738D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EEA31E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F486E5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275" w14:paraId="79D238A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86222B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D9BA5E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CF6D9B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ACBBC2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150.872,58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ABE369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214.159,72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3FF621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141,9</w:t>
            </w:r>
          </w:p>
        </w:tc>
      </w:tr>
    </w:tbl>
    <w:p w14:paraId="10D4AD8C" w14:textId="77777777" w:rsidR="00783275" w:rsidRDefault="00783275">
      <w:pPr>
        <w:spacing w:after="0"/>
      </w:pPr>
    </w:p>
    <w:p w14:paraId="4A129AF7" w14:textId="77777777" w:rsidR="00783275" w:rsidRDefault="00000000">
      <w:r>
        <w:t>U promatranom razdoblju došlo je do povećanja rashoda za zaposlene uslijed povećanja minimalne plaće za djelatnice Programa Zaželi. </w:t>
      </w:r>
    </w:p>
    <w:p w14:paraId="46CFDE08" w14:textId="77777777" w:rsidR="00783275" w:rsidRDefault="00783275"/>
    <w:p w14:paraId="2F85ACC1" w14:textId="77777777" w:rsidR="00783275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275" w14:paraId="71F1281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412568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44D095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02E11B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82C81D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43CB63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DE806A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275" w14:paraId="5597A05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9CD6EC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EDF546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E75A97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8B3CBB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20.912,28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A59EBC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29.991,67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C7731B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143,4</w:t>
            </w:r>
          </w:p>
        </w:tc>
      </w:tr>
    </w:tbl>
    <w:p w14:paraId="34EFC330" w14:textId="77777777" w:rsidR="00783275" w:rsidRDefault="00783275">
      <w:pPr>
        <w:spacing w:after="0"/>
      </w:pPr>
    </w:p>
    <w:p w14:paraId="6D1FD323" w14:textId="375EC1E6" w:rsidR="00783275" w:rsidRDefault="00000000">
      <w:r>
        <w:t>Doprinosi na plaće su povećani u odnosu na prethod</w:t>
      </w:r>
      <w:r w:rsidR="00B4174D">
        <w:t>n</w:t>
      </w:r>
      <w:r>
        <w:t>o razdoblje jer je povećana minimalna plaća u odnosu na prethodno razdoblje, a odnosi se na plaće djelatnica Prog</w:t>
      </w:r>
      <w:r w:rsidR="00B4174D">
        <w:t>r</w:t>
      </w:r>
      <w:r>
        <w:t>ama Zaželi. </w:t>
      </w:r>
    </w:p>
    <w:p w14:paraId="78F3E996" w14:textId="77777777" w:rsidR="00783275" w:rsidRDefault="00783275"/>
    <w:p w14:paraId="405513B5" w14:textId="77777777" w:rsidR="00783275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275" w14:paraId="51FC619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E1D61B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DF8AFF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E43386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99822F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240B21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CBEAD2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275" w14:paraId="1224990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39B061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306C1A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B00CBE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E5B30E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2.651,59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131EB8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5.031,80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8E2B6C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189,8</w:t>
            </w:r>
          </w:p>
        </w:tc>
      </w:tr>
    </w:tbl>
    <w:p w14:paraId="210EEC92" w14:textId="77777777" w:rsidR="00783275" w:rsidRDefault="00783275">
      <w:pPr>
        <w:spacing w:after="0"/>
      </w:pPr>
    </w:p>
    <w:p w14:paraId="549666C4" w14:textId="77777777" w:rsidR="00783275" w:rsidRDefault="00000000">
      <w:r>
        <w:t>Došlo je do povećanja komunalnih usluga jer je u promatranom razdoblju u odnosu na prethodno obavljena deratizacija na području općine. </w:t>
      </w:r>
    </w:p>
    <w:p w14:paraId="28F16338" w14:textId="77777777" w:rsidR="00783275" w:rsidRDefault="00783275"/>
    <w:p w14:paraId="4F78120A" w14:textId="77777777" w:rsidR="00783275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275" w14:paraId="11FE3E5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58FA66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8B030F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010E6C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931302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4D2266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2D6165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275" w14:paraId="05C0627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A9DFCD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FB99A8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42A83B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3CD657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4.375,00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F7D1FF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22.300,25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40105D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509,7</w:t>
            </w:r>
          </w:p>
        </w:tc>
      </w:tr>
    </w:tbl>
    <w:p w14:paraId="408EBFFB" w14:textId="77777777" w:rsidR="00783275" w:rsidRDefault="00783275">
      <w:pPr>
        <w:spacing w:after="0"/>
      </w:pPr>
    </w:p>
    <w:p w14:paraId="3F67DBF9" w14:textId="49417849" w:rsidR="00783275" w:rsidRDefault="00000000">
      <w:r>
        <w:t>Intelektualne i osobne usluge su povećane u odnosu na prethodno razdoblje jer je trebalo revidirati dokumente Civilne zaštite i izraditi Plan rasvjete Općine Lokvičići koji su izradili vanjski suradnici. </w:t>
      </w:r>
    </w:p>
    <w:p w14:paraId="0E6EA67E" w14:textId="77777777" w:rsidR="00783275" w:rsidRDefault="00783275"/>
    <w:p w14:paraId="45F5EABE" w14:textId="77777777" w:rsidR="00783275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275" w14:paraId="2A5C1DF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3B52FE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EB9731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140020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55B6D9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5479E6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D548F0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275" w14:paraId="6504C71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F67375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B82A77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4204B3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BB2F54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989,32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137D5D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1.873,76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BD1615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189,4</w:t>
            </w:r>
          </w:p>
        </w:tc>
      </w:tr>
    </w:tbl>
    <w:p w14:paraId="0355D429" w14:textId="77777777" w:rsidR="00783275" w:rsidRDefault="00783275">
      <w:pPr>
        <w:spacing w:after="0"/>
      </w:pPr>
    </w:p>
    <w:p w14:paraId="0EB8DB79" w14:textId="77777777" w:rsidR="00783275" w:rsidRDefault="00000000">
      <w:r>
        <w:t>Računalne usluge su povećane u prethodnom razdoblju jer je došlo do povećanja cijene održavanja web stranice Općine. </w:t>
      </w:r>
    </w:p>
    <w:p w14:paraId="64C87BBC" w14:textId="77777777" w:rsidR="00783275" w:rsidRDefault="00783275"/>
    <w:p w14:paraId="7A3FBFC6" w14:textId="77777777" w:rsidR="00783275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275" w14:paraId="5FE298B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ACFF05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C058D4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1C9A27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529B8A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25E103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360ECD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275" w14:paraId="24BC2C0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09F1A3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87BA6D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07DAFD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68EB42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162A86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17.124,44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6A57EE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1F248A8" w14:textId="77777777" w:rsidR="00783275" w:rsidRDefault="00783275">
      <w:pPr>
        <w:spacing w:after="0"/>
      </w:pPr>
    </w:p>
    <w:p w14:paraId="26DA4ABF" w14:textId="77777777" w:rsidR="00783275" w:rsidRDefault="00000000">
      <w:r>
        <w:t>Naknade za rad predstavničkih tijela se odnose na isplate sredstava djelatnicima koji su sudjelovali u provođenju lokalnih izbora. </w:t>
      </w:r>
    </w:p>
    <w:p w14:paraId="1F724294" w14:textId="77777777" w:rsidR="00783275" w:rsidRDefault="00783275"/>
    <w:p w14:paraId="7D70DC49" w14:textId="77777777" w:rsidR="00783275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275" w14:paraId="29A2E7F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BFE962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694105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F056BA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3BE56E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DD67DC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E60D8F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275" w14:paraId="4348FE6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AAA1DC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1063AA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CC5C6E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02C27A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2.773,78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EB85FB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1.497,51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7FC8D8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54,0</w:t>
            </w:r>
          </w:p>
        </w:tc>
      </w:tr>
    </w:tbl>
    <w:p w14:paraId="62559461" w14:textId="77777777" w:rsidR="00783275" w:rsidRDefault="00783275">
      <w:pPr>
        <w:spacing w:after="0"/>
      </w:pPr>
    </w:p>
    <w:p w14:paraId="082A45F4" w14:textId="4D6144B3" w:rsidR="00783275" w:rsidRDefault="00000000">
      <w:r>
        <w:t>Prist</w:t>
      </w:r>
      <w:r w:rsidR="00B4174D">
        <w:t>ojb</w:t>
      </w:r>
      <w:r>
        <w:t>e i naknade su manje u odnosu na prethodno razdoblje jer je u promatranom razdoblju bila niža naknada Fondu za zaštitu okoliša - obveza plaćanja poticajne naknade. </w:t>
      </w:r>
    </w:p>
    <w:p w14:paraId="58CA46A7" w14:textId="77777777" w:rsidR="00783275" w:rsidRDefault="00783275"/>
    <w:p w14:paraId="63056A87" w14:textId="77777777" w:rsidR="00783275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275" w14:paraId="58805D4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D4B287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D1DE0E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407FFA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7A58D7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AEDA5E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FC0CB5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275" w14:paraId="0E328DE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888C92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8593F5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89EC74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40FECC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1.224,78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7BBE16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2.834,62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383413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231,4</w:t>
            </w:r>
          </w:p>
        </w:tc>
      </w:tr>
    </w:tbl>
    <w:p w14:paraId="447A97F5" w14:textId="77777777" w:rsidR="00783275" w:rsidRDefault="00783275">
      <w:pPr>
        <w:spacing w:after="0"/>
      </w:pPr>
    </w:p>
    <w:p w14:paraId="2E245EF5" w14:textId="77777777" w:rsidR="00783275" w:rsidRDefault="00000000">
      <w:r>
        <w:t>Ostali nespomenuti rashodi poslovanja odnose se na naknade poreznoj upravi i nabavu zajedničkog radarskog uređaja prema sporazumu sa susjednim Općinama i Gradom. </w:t>
      </w:r>
    </w:p>
    <w:p w14:paraId="445BA562" w14:textId="77777777" w:rsidR="00783275" w:rsidRDefault="00783275"/>
    <w:p w14:paraId="0AE48C47" w14:textId="77777777" w:rsidR="00783275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275" w14:paraId="612AB2B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E633F1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638E94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617824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4AD5A5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F2E93D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EAC23E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275" w14:paraId="488A594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18045B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6BEF06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za primljene kredite i zajmove (šifre 3421 do 3428)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BD9C75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282831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9ACB06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6B7C3F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E8FAAD7" w14:textId="77777777" w:rsidR="00783275" w:rsidRDefault="00783275">
      <w:pPr>
        <w:spacing w:after="0"/>
      </w:pPr>
    </w:p>
    <w:p w14:paraId="689A0731" w14:textId="279567E9" w:rsidR="00783275" w:rsidRDefault="00000000">
      <w:r>
        <w:t>Kamate na primljene kredite u zajmove odnose se na kam</w:t>
      </w:r>
      <w:r w:rsidR="00B4174D">
        <w:t>a</w:t>
      </w:r>
      <w:r>
        <w:t>te za korištenje odobrenog minusa po tekućem računu. </w:t>
      </w:r>
    </w:p>
    <w:p w14:paraId="7812E433" w14:textId="77777777" w:rsidR="00783275" w:rsidRDefault="00783275"/>
    <w:p w14:paraId="07C96CF8" w14:textId="77777777" w:rsidR="00783275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275" w14:paraId="69F0042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66240F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82359B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4F5334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37A7D6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2EB48E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D17E87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275" w14:paraId="370F90E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DCBAAA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F1EBD1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F08585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3F1BED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8.080,00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1F406C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26.679,97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F7233C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330,2</w:t>
            </w:r>
          </w:p>
        </w:tc>
      </w:tr>
    </w:tbl>
    <w:p w14:paraId="6B361101" w14:textId="77777777" w:rsidR="00783275" w:rsidRDefault="00783275">
      <w:pPr>
        <w:spacing w:after="0"/>
      </w:pPr>
    </w:p>
    <w:p w14:paraId="14374A94" w14:textId="4C1E62E7" w:rsidR="00783275" w:rsidRDefault="00000000">
      <w:r>
        <w:t>Tekuće pomoći proračunskim korisnicima drugih proračuna povećane su jer je došlo do povećanja broja upisane djece kao i same cijene vrtića. Djeca s pod</w:t>
      </w:r>
      <w:r w:rsidR="00B4174D">
        <w:t>r</w:t>
      </w:r>
      <w:r>
        <w:t>učja Općine pohađaju vrtiće susjednih općina, budući da Općina nema svoj vlastiti vrtić. </w:t>
      </w:r>
    </w:p>
    <w:p w14:paraId="2834C2F2" w14:textId="77777777" w:rsidR="00783275" w:rsidRDefault="00783275"/>
    <w:p w14:paraId="0B2773B7" w14:textId="77777777" w:rsidR="00783275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275" w14:paraId="3D10473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8EF6FF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A63B01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3248D6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2131C7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7F78AE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459FCC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275" w14:paraId="2D5E54D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89480C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9DD53F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kreditnim i ostalim financijskim institucijama te trgovačkim društvima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0A800A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DEFBA5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2.288,00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688DBC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1.144,00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121FE5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50,0</w:t>
            </w:r>
          </w:p>
        </w:tc>
      </w:tr>
    </w:tbl>
    <w:p w14:paraId="16E8881D" w14:textId="77777777" w:rsidR="00783275" w:rsidRDefault="00783275">
      <w:pPr>
        <w:spacing w:after="0"/>
      </w:pPr>
    </w:p>
    <w:p w14:paraId="71BA7056" w14:textId="77777777" w:rsidR="00783275" w:rsidRDefault="00000000">
      <w:r>
        <w:t>Navedeni iznos je isplaćen Vodovodu Imotske krajine sukladno zajedničkom Sporazumu Općina za kupnju građevinskog zemljišta. </w:t>
      </w:r>
    </w:p>
    <w:p w14:paraId="18748F1A" w14:textId="77777777" w:rsidR="00783275" w:rsidRDefault="00783275"/>
    <w:p w14:paraId="4AA295A9" w14:textId="77777777" w:rsidR="00783275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275" w14:paraId="0901EC2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545D98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976AF4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EF1191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81DC7D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F48812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14DA28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275" w14:paraId="7521202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CE444E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1F2286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7C65BD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57F58D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73FFA8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23BD48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12DCB1A6" w14:textId="77777777" w:rsidR="00783275" w:rsidRDefault="00783275">
      <w:pPr>
        <w:spacing w:after="0"/>
      </w:pPr>
    </w:p>
    <w:p w14:paraId="3797E979" w14:textId="77777777" w:rsidR="00783275" w:rsidRDefault="00000000">
      <w:r>
        <w:t>Prihodi od prodaje nefinancijske imovine iznose 2.700,00 eura, a rezultat su prodaje jednog grobnog mjesta. </w:t>
      </w:r>
    </w:p>
    <w:p w14:paraId="59E49B53" w14:textId="77777777" w:rsidR="00783275" w:rsidRDefault="00783275"/>
    <w:p w14:paraId="3227AD39" w14:textId="77777777" w:rsidR="00783275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275" w14:paraId="06EE7D7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2D3707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A4E0C8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503F4F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998DB1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DDB0E5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D802C0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275" w14:paraId="5C212E4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50A9BC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8C40CD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Materijalna imovina - prirodna bogatstva (šifre 4111 do 4113)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9ED875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E2CE21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0AA8B9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F787CA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FF8D764" w14:textId="77777777" w:rsidR="00783275" w:rsidRDefault="00783275">
      <w:pPr>
        <w:spacing w:after="0"/>
      </w:pPr>
    </w:p>
    <w:p w14:paraId="086C1EBA" w14:textId="77777777" w:rsidR="00783275" w:rsidRDefault="00000000">
      <w:r>
        <w:t>Rashodi se odnose na kupnju zemljišta, budući da Općina u svom vlasništvu nema zemljišta. </w:t>
      </w:r>
    </w:p>
    <w:p w14:paraId="36E381BD" w14:textId="77777777" w:rsidR="00783275" w:rsidRDefault="00783275"/>
    <w:p w14:paraId="50F50407" w14:textId="77777777" w:rsidR="00783275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275" w14:paraId="77CC75B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A86E9C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A8505A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1F8C4C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562656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098C35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54945C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275" w14:paraId="03EDAB3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CD0E0C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A0EC74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Poslovni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9BEEFE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2C395F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A1ED12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21.467,50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10933F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FCDE97E" w14:textId="77777777" w:rsidR="00783275" w:rsidRDefault="00783275">
      <w:pPr>
        <w:spacing w:after="0"/>
      </w:pPr>
    </w:p>
    <w:p w14:paraId="29836D6D" w14:textId="77777777" w:rsidR="00783275" w:rsidRDefault="00000000">
      <w:r>
        <w:t>Navedeni rashod se odnosi na izgradnju i uređenje igrališta Katići. </w:t>
      </w:r>
    </w:p>
    <w:p w14:paraId="3209C298" w14:textId="77777777" w:rsidR="00783275" w:rsidRDefault="00783275"/>
    <w:p w14:paraId="3B7B0C73" w14:textId="77777777" w:rsidR="00783275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275" w14:paraId="0736DD3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995956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0535F8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F46381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9A21BA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0CE2EB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6A1F12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275" w14:paraId="5342162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D255FC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3982CE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5C0602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5F4728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164.272,38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398780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258.476,26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0FF54A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157,3</w:t>
            </w:r>
          </w:p>
        </w:tc>
      </w:tr>
    </w:tbl>
    <w:p w14:paraId="29581907" w14:textId="77777777" w:rsidR="00783275" w:rsidRDefault="00783275">
      <w:pPr>
        <w:spacing w:after="0"/>
      </w:pPr>
    </w:p>
    <w:p w14:paraId="33C4F2FE" w14:textId="77777777" w:rsidR="00783275" w:rsidRDefault="00000000">
      <w:r>
        <w:t>Navedeni rashodi uključuju rashode za proširenje vodoopskrbnog sustava, uređenje i opremanje dječjeg igrališta, odvodnje, Vidikovca, ogradnog zida oko groblja, izgradnja nogostupa i izgradnja trga. </w:t>
      </w:r>
    </w:p>
    <w:p w14:paraId="25AABEC3" w14:textId="77777777" w:rsidR="00783275" w:rsidRDefault="00783275"/>
    <w:p w14:paraId="2264F311" w14:textId="77777777" w:rsidR="00783275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275" w14:paraId="631BCE5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CD9DCF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2BBE62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336137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252385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D0630E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7503B3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275" w14:paraId="163B51D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C85B37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6024DE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Umjetnička, literarna i znanstvena djela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735B53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83509A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B7E86F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20.625,00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5C9E8C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CBFEEBC" w14:textId="77777777" w:rsidR="00783275" w:rsidRDefault="00783275">
      <w:pPr>
        <w:spacing w:after="0"/>
      </w:pPr>
    </w:p>
    <w:p w14:paraId="6A369AA1" w14:textId="55126C71" w:rsidR="00783275" w:rsidRDefault="00000000">
      <w:r>
        <w:t>Navedeni rashod se odnosi na Transform</w:t>
      </w:r>
      <w:r w:rsidR="00B4174D">
        <w:t>a</w:t>
      </w:r>
      <w:r>
        <w:t>ciju prostornog plana uređenja općine Lokviči</w:t>
      </w:r>
      <w:r w:rsidR="00B4174D">
        <w:t>ć</w:t>
      </w:r>
      <w:r>
        <w:t>i. </w:t>
      </w:r>
    </w:p>
    <w:p w14:paraId="4BD707E7" w14:textId="77777777" w:rsidR="00783275" w:rsidRDefault="00783275"/>
    <w:p w14:paraId="1356F499" w14:textId="77777777" w:rsidR="00783275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275" w14:paraId="525D7AB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F25698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F0C3DC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96A312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FA9C56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4C954A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081012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275" w14:paraId="6467423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39F288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1A37C1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zaduživanja (šifre 841+842+843+844+845+847)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D9B39D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CC7955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578FEB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38DC47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864418C" w14:textId="77777777" w:rsidR="00783275" w:rsidRDefault="00783275">
      <w:pPr>
        <w:spacing w:after="0"/>
      </w:pPr>
    </w:p>
    <w:p w14:paraId="69338494" w14:textId="77777777" w:rsidR="00783275" w:rsidRDefault="00000000">
      <w:r>
        <w:t>Primici od zaduživanja iznose 40.000 eura, a odnosi se na odobrenje minusa po tekućem računu, koji dospijeva u siječnju 2026. godine.</w:t>
      </w:r>
    </w:p>
    <w:p w14:paraId="7872111B" w14:textId="77777777" w:rsidR="00783275" w:rsidRDefault="00783275"/>
    <w:p w14:paraId="4B0735DD" w14:textId="77777777" w:rsidR="00783275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275" w14:paraId="3FAEFCD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AA3F44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4A07B2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15F208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F309DB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CDCE3B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6D85B2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275" w14:paraId="70DBCDD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25C135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71DB95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01A7FD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966BFB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17.329,29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B93235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69.964,87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C7F3AB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403,7</w:t>
            </w:r>
          </w:p>
        </w:tc>
      </w:tr>
    </w:tbl>
    <w:p w14:paraId="3B74D8DF" w14:textId="77777777" w:rsidR="00783275" w:rsidRDefault="00783275">
      <w:pPr>
        <w:spacing w:after="0"/>
      </w:pPr>
    </w:p>
    <w:p w14:paraId="0CB0B12A" w14:textId="77777777" w:rsidR="00783275" w:rsidRDefault="00000000">
      <w:r>
        <w:t>U stanje novčanih sredstava uključen je i iznos od 40.000 eura odobrenog minusa po tekućem računu. </w:t>
      </w:r>
    </w:p>
    <w:p w14:paraId="71895D0A" w14:textId="77777777" w:rsidR="00783275" w:rsidRDefault="00783275"/>
    <w:p w14:paraId="3DC33F18" w14:textId="77777777" w:rsidR="00783275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275" w14:paraId="191AF4E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585C4E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D9D4FC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CC874F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6FD1A4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CA68CF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2373B7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275" w14:paraId="774E5E3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31BE9F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6AB3E7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Sufinanciranje cijene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846C1A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33EA5B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22.045,30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B24E6C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25.207,82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7742E7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114,3</w:t>
            </w:r>
          </w:p>
        </w:tc>
      </w:tr>
    </w:tbl>
    <w:p w14:paraId="1480B2E8" w14:textId="77777777" w:rsidR="00783275" w:rsidRDefault="00783275">
      <w:pPr>
        <w:spacing w:after="0"/>
      </w:pPr>
    </w:p>
    <w:p w14:paraId="285C22CF" w14:textId="77777777" w:rsidR="00783275" w:rsidRDefault="00000000">
      <w:proofErr w:type="spellStart"/>
      <w:r>
        <w:t>Nakande</w:t>
      </w:r>
      <w:proofErr w:type="spellEnd"/>
      <w:r>
        <w:t xml:space="preserve"> se odnose na sufinanciranje cijene prijevoza studentima i srednjoškolcima. </w:t>
      </w:r>
    </w:p>
    <w:p w14:paraId="71B01F56" w14:textId="77777777" w:rsidR="00783275" w:rsidRDefault="00783275"/>
    <w:p w14:paraId="0CAF12AB" w14:textId="77777777" w:rsidR="00783275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336BD74E" w14:textId="77777777" w:rsidR="00783275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275" w14:paraId="0786D46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2F931E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2BC02F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78C68E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661C9D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648382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15EF36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275" w14:paraId="7A29469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8FD2A1" w14:textId="77777777" w:rsidR="00783275" w:rsidRDefault="0078327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904872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383512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58F6D0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5.438.295,76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016C65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5.406.143,80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A82893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99,4</w:t>
            </w:r>
          </w:p>
        </w:tc>
      </w:tr>
    </w:tbl>
    <w:p w14:paraId="1C873CF2" w14:textId="77777777" w:rsidR="00783275" w:rsidRDefault="00783275">
      <w:pPr>
        <w:spacing w:after="0"/>
      </w:pPr>
    </w:p>
    <w:p w14:paraId="0B39DB12" w14:textId="77777777" w:rsidR="00783275" w:rsidRDefault="00000000">
      <w:r>
        <w:t>U promatranom razdoblju ukupna imovina iznosi 5.406.143,80 eura.</w:t>
      </w:r>
    </w:p>
    <w:p w14:paraId="4595FC22" w14:textId="77777777" w:rsidR="00783275" w:rsidRDefault="00783275"/>
    <w:p w14:paraId="25F67FD7" w14:textId="77777777" w:rsidR="00783275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275" w14:paraId="73935A1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932CA0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23E7F1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85DF18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CC6DB0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98EE33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F6FEA1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275" w14:paraId="585C1B0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F47BB2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3A5D5E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Materijalna imovina - prirodna bogatstva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1CA2D0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9EB9DE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24.540,41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4D24E2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30.540,41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8CC485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124,4</w:t>
            </w:r>
          </w:p>
        </w:tc>
      </w:tr>
    </w:tbl>
    <w:p w14:paraId="6085A6EB" w14:textId="77777777" w:rsidR="00783275" w:rsidRDefault="00783275">
      <w:pPr>
        <w:spacing w:after="0"/>
      </w:pPr>
    </w:p>
    <w:p w14:paraId="02617B3D" w14:textId="77777777" w:rsidR="00783275" w:rsidRDefault="00000000">
      <w:r>
        <w:t>Nematerijalna imovina je povećana zbog kupnje zemljišta. </w:t>
      </w:r>
    </w:p>
    <w:p w14:paraId="70C17BEB" w14:textId="77777777" w:rsidR="00783275" w:rsidRDefault="00783275"/>
    <w:p w14:paraId="49BBDF62" w14:textId="77777777" w:rsidR="00783275" w:rsidRDefault="0000000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275" w14:paraId="5BAA269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758A7E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4EE017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F77D71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941C8A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17A559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2F4656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275" w14:paraId="3204A9B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971E10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690FED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 u upotrebi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94AED8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0473B4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11.452,05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D7950F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22.406,01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7E4408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195,7</w:t>
            </w:r>
          </w:p>
        </w:tc>
      </w:tr>
    </w:tbl>
    <w:p w14:paraId="77F0B8C2" w14:textId="77777777" w:rsidR="00783275" w:rsidRDefault="00783275">
      <w:pPr>
        <w:spacing w:after="0"/>
      </w:pPr>
    </w:p>
    <w:p w14:paraId="68ECE967" w14:textId="77777777" w:rsidR="00783275" w:rsidRDefault="00000000">
      <w:r>
        <w:t>Sitni inventar je povećan u odnosu na prethodno razdoblje zbog nabave Božićnih ukrasa. </w:t>
      </w:r>
    </w:p>
    <w:p w14:paraId="63C3093B" w14:textId="77777777" w:rsidR="00783275" w:rsidRDefault="00783275"/>
    <w:p w14:paraId="4C45FD17" w14:textId="77777777" w:rsidR="00783275" w:rsidRDefault="00000000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275" w14:paraId="16CC46E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0B4155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D63BE3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C43D6B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75166C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EA2472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8502E0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275" w14:paraId="0F50CB6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CA0688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6962BB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Građevinski objekti u pripremi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FD52CF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5EB5D9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382.983,52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734030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515.909,53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72631B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134,7</w:t>
            </w:r>
          </w:p>
        </w:tc>
      </w:tr>
    </w:tbl>
    <w:p w14:paraId="29987BB9" w14:textId="77777777" w:rsidR="00783275" w:rsidRDefault="00783275">
      <w:pPr>
        <w:spacing w:after="0"/>
      </w:pPr>
    </w:p>
    <w:p w14:paraId="59CF365B" w14:textId="77777777" w:rsidR="00783275" w:rsidRDefault="00000000">
      <w:r>
        <w:t xml:space="preserve">Građevinski </w:t>
      </w:r>
      <w:proofErr w:type="spellStart"/>
      <w:r>
        <w:t>objketi</w:t>
      </w:r>
      <w:proofErr w:type="spellEnd"/>
      <w:r>
        <w:t xml:space="preserve"> u pripremi iznose 515.909,53 eura, a dovršetak istih se očekuje tijekom 2026. godine. </w:t>
      </w:r>
    </w:p>
    <w:p w14:paraId="7D652C34" w14:textId="77777777" w:rsidR="00783275" w:rsidRDefault="00783275"/>
    <w:p w14:paraId="2D5DBD5B" w14:textId="77777777" w:rsidR="00783275" w:rsidRDefault="00000000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275" w14:paraId="19F9D53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360648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9BB0CE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DA8E99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9D81E9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8DAB12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E8D32A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275" w14:paraId="5941158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765CFA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D9B829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banci i blagajni (šifre 111+112 do 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7AF8D3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A8A146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17.329,29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3FE68C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69.964,87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7C8D2F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403,7</w:t>
            </w:r>
          </w:p>
        </w:tc>
      </w:tr>
    </w:tbl>
    <w:p w14:paraId="30E37A2A" w14:textId="77777777" w:rsidR="00783275" w:rsidRDefault="00783275">
      <w:pPr>
        <w:spacing w:after="0"/>
      </w:pPr>
    </w:p>
    <w:p w14:paraId="21D277D9" w14:textId="77777777" w:rsidR="00783275" w:rsidRDefault="00000000">
      <w:r>
        <w:t>Novac u banci i blagajni obuhvaća i odobreni minus po tekućem računu od banke, za pokriće tekuće likvidnosti. </w:t>
      </w:r>
    </w:p>
    <w:p w14:paraId="224C8A76" w14:textId="77777777" w:rsidR="00783275" w:rsidRDefault="00783275"/>
    <w:p w14:paraId="6D68A768" w14:textId="77777777" w:rsidR="00783275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275" w14:paraId="286D369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EB391D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FB02F2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ACEFF4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7E4F29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AFCAD6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053FCC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275" w14:paraId="7F12ABC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D45BFC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1521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D98233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Dionice i udjeli u glavnici trgovačkih društava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64CC73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1521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0428C6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13.472,80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9D1B56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13.472,80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2E58D5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0A541D27" w14:textId="77777777" w:rsidR="00783275" w:rsidRDefault="00783275">
      <w:pPr>
        <w:spacing w:after="0"/>
      </w:pPr>
    </w:p>
    <w:p w14:paraId="57EF1564" w14:textId="77777777" w:rsidR="00783275" w:rsidRDefault="00000000">
      <w:r>
        <w:t>Odnose se na udjele u Čistoći Imotske krajine i Vodovodu Imotske krajine. </w:t>
      </w:r>
    </w:p>
    <w:p w14:paraId="0A148E53" w14:textId="77777777" w:rsidR="00783275" w:rsidRDefault="00783275"/>
    <w:p w14:paraId="51A4B655" w14:textId="77777777" w:rsidR="00783275" w:rsidRDefault="00000000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275" w14:paraId="148A5E0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F3ACDA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3AF618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FFDAD3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7A9DE8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088B2D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CFF22D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275" w14:paraId="70E9495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44DB94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A86B5F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2BF49A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5390A8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E17FA2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55.564,92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A3467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0AFFE27" w14:textId="77777777" w:rsidR="00783275" w:rsidRDefault="00783275">
      <w:pPr>
        <w:spacing w:after="0"/>
      </w:pPr>
    </w:p>
    <w:p w14:paraId="3AB5ECC5" w14:textId="77777777" w:rsidR="00783275" w:rsidRDefault="00000000">
      <w:r>
        <w:t>Potraživanja prema Ugovoru za Program Zaželi. </w:t>
      </w:r>
    </w:p>
    <w:p w14:paraId="704909CB" w14:textId="77777777" w:rsidR="00783275" w:rsidRDefault="00783275"/>
    <w:p w14:paraId="3D09B4D8" w14:textId="77777777" w:rsidR="00783275" w:rsidRDefault="00000000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275" w14:paraId="781A8E7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6BA54D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B144DB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AB3CC7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47997A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D7A87A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670AEA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275" w14:paraId="74B3F86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D96FA9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9D71DA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25684C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1F1CFA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224.179,85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A775EB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277.834,90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637CB5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123,9</w:t>
            </w:r>
          </w:p>
        </w:tc>
      </w:tr>
    </w:tbl>
    <w:p w14:paraId="374D80A7" w14:textId="77777777" w:rsidR="00783275" w:rsidRDefault="00783275">
      <w:pPr>
        <w:spacing w:after="0"/>
      </w:pPr>
    </w:p>
    <w:p w14:paraId="334D5C9D" w14:textId="77777777" w:rsidR="00783275" w:rsidRDefault="00000000">
      <w:r>
        <w:t>Obveze su neznatno veće u odnosu na prethodno razdoblje. Dospjele obveze su nepodmirene zbog nedostatka financijskih sredstava. </w:t>
      </w:r>
    </w:p>
    <w:p w14:paraId="39E6B3A0" w14:textId="77777777" w:rsidR="00783275" w:rsidRDefault="00783275"/>
    <w:p w14:paraId="6285CAA1" w14:textId="77777777" w:rsidR="00783275" w:rsidRDefault="00000000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275" w14:paraId="5CA41B6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BB6398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E8A7A4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742E39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1E0CE9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E21612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7578B2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275" w14:paraId="7CCDCB2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BD31D7" w14:textId="77777777" w:rsidR="00783275" w:rsidRDefault="0078327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2DC7A4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kredite i zajmove - tuzemne (šifre 2622+2623+2624+2631+2643+2644+2645+2653+2654+2671+2672+2673+2674+2675+2676+2677)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50C3CF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26X1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749EE2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003745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550C82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DF6FDEA" w14:textId="77777777" w:rsidR="00783275" w:rsidRDefault="00783275">
      <w:pPr>
        <w:spacing w:after="0"/>
      </w:pPr>
    </w:p>
    <w:p w14:paraId="0777F21F" w14:textId="77777777" w:rsidR="00783275" w:rsidRDefault="00000000">
      <w:r>
        <w:t>Obveze za kredite i zajmove odnose se na odobreni minus po tekućem računu u iznosu od 40.000,00 eura. </w:t>
      </w:r>
    </w:p>
    <w:p w14:paraId="1F904955" w14:textId="77777777" w:rsidR="00783275" w:rsidRDefault="00783275"/>
    <w:p w14:paraId="7D5A12F3" w14:textId="77777777" w:rsidR="00783275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275" w14:paraId="3F1E766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95E2A7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24C336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61BE58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CFF3A3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C27A80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E24282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275" w14:paraId="127B694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B12CF4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1656D2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Izvanbilančni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0D8962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5C5F4C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182.541,95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C0D9A1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538.663,55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69A211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295,1</w:t>
            </w:r>
          </w:p>
        </w:tc>
      </w:tr>
    </w:tbl>
    <w:p w14:paraId="23838405" w14:textId="77777777" w:rsidR="00783275" w:rsidRDefault="00783275">
      <w:pPr>
        <w:spacing w:after="0"/>
      </w:pPr>
    </w:p>
    <w:p w14:paraId="076C6D84" w14:textId="5E026F6C" w:rsidR="00783275" w:rsidRDefault="00000000">
      <w:r>
        <w:t xml:space="preserve">Izvanbilančni zapisi iznose 538.663,55 eur. </w:t>
      </w:r>
      <w:proofErr w:type="spellStart"/>
      <w:r>
        <w:t>Izvanbil</w:t>
      </w:r>
      <w:r w:rsidR="00B4174D">
        <w:t>a</w:t>
      </w:r>
      <w:r>
        <w:t>nčna</w:t>
      </w:r>
      <w:proofErr w:type="spellEnd"/>
      <w:r>
        <w:t xml:space="preserve"> evidencija uključuje:</w:t>
      </w:r>
      <w:r>
        <w:br/>
        <w:t>- instrumente osiguranja plaćanja u iznosu od  538.663,55 eur izdani tijekom 2025 i prethodnih godina, koji još nisu vraćeni, a služe kao   instrumenti osiguranja plaćanja investicijskih projekata od strane Ministarstava. 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216"/>
        <w:gridCol w:w="1243"/>
        <w:gridCol w:w="1136"/>
        <w:gridCol w:w="2935"/>
        <w:gridCol w:w="1356"/>
        <w:gridCol w:w="1176"/>
      </w:tblGrid>
      <w:tr w:rsidR="00783275" w14:paraId="6B962C60" w14:textId="77777777">
        <w:tc>
          <w:tcPr>
            <w:tcW w:w="625" w:type="pct"/>
            <w:vAlign w:val="center"/>
          </w:tcPr>
          <w:p w14:paraId="65B20F2F" w14:textId="77777777" w:rsidR="00783275" w:rsidRDefault="00000000">
            <w:r>
              <w:t>Garant</w:t>
            </w:r>
          </w:p>
        </w:tc>
        <w:tc>
          <w:tcPr>
            <w:tcW w:w="625" w:type="pct"/>
            <w:vAlign w:val="center"/>
          </w:tcPr>
          <w:p w14:paraId="7AFD5AAF" w14:textId="77777777" w:rsidR="00783275" w:rsidRDefault="00000000">
            <w:r>
              <w:t>Broj</w:t>
            </w:r>
          </w:p>
        </w:tc>
        <w:tc>
          <w:tcPr>
            <w:tcW w:w="625" w:type="pct"/>
            <w:vAlign w:val="center"/>
          </w:tcPr>
          <w:p w14:paraId="648CD8E5" w14:textId="77777777" w:rsidR="00783275" w:rsidRDefault="00000000">
            <w:r>
              <w:t>Dužnik</w:t>
            </w:r>
          </w:p>
        </w:tc>
        <w:tc>
          <w:tcPr>
            <w:tcW w:w="1799" w:type="pct"/>
            <w:vAlign w:val="center"/>
          </w:tcPr>
          <w:p w14:paraId="0A69A3A2" w14:textId="77777777" w:rsidR="00783275" w:rsidRDefault="00000000">
            <w:r>
              <w:t>Vjerovnik</w:t>
            </w:r>
          </w:p>
        </w:tc>
        <w:tc>
          <w:tcPr>
            <w:tcW w:w="691" w:type="pct"/>
            <w:vAlign w:val="center"/>
          </w:tcPr>
          <w:p w14:paraId="11B73A8C" w14:textId="77777777" w:rsidR="00783275" w:rsidRDefault="00000000">
            <w:r>
              <w:t>Datum izdavanja</w:t>
            </w:r>
          </w:p>
        </w:tc>
        <w:tc>
          <w:tcPr>
            <w:tcW w:w="634" w:type="pct"/>
            <w:vAlign w:val="center"/>
          </w:tcPr>
          <w:p w14:paraId="3D4DC548" w14:textId="77777777" w:rsidR="00783275" w:rsidRDefault="00000000">
            <w:r>
              <w:t>Iznos eur</w:t>
            </w:r>
          </w:p>
        </w:tc>
      </w:tr>
      <w:tr w:rsidR="00783275" w14:paraId="51A6775F" w14:textId="77777777">
        <w:tc>
          <w:tcPr>
            <w:tcW w:w="625" w:type="pct"/>
            <w:vAlign w:val="center"/>
          </w:tcPr>
          <w:p w14:paraId="7B315B2E" w14:textId="77777777" w:rsidR="00783275" w:rsidRDefault="00000000">
            <w:r>
              <w:t>Zadužnica</w:t>
            </w:r>
          </w:p>
        </w:tc>
        <w:tc>
          <w:tcPr>
            <w:tcW w:w="625" w:type="pct"/>
            <w:vAlign w:val="center"/>
          </w:tcPr>
          <w:p w14:paraId="2F83DABD" w14:textId="77777777" w:rsidR="00783275" w:rsidRDefault="00000000">
            <w:r>
              <w:t>0V-357/2025</w:t>
            </w:r>
          </w:p>
        </w:tc>
        <w:tc>
          <w:tcPr>
            <w:tcW w:w="625" w:type="pct"/>
            <w:vAlign w:val="center"/>
          </w:tcPr>
          <w:p w14:paraId="706B5535" w14:textId="77777777" w:rsidR="00783275" w:rsidRDefault="00000000">
            <w:r>
              <w:t>Općina Lokvičići</w:t>
            </w:r>
          </w:p>
        </w:tc>
        <w:tc>
          <w:tcPr>
            <w:tcW w:w="1799" w:type="pct"/>
            <w:vAlign w:val="center"/>
          </w:tcPr>
          <w:p w14:paraId="60B0B635" w14:textId="77777777" w:rsidR="00783275" w:rsidRDefault="00000000">
            <w:r>
              <w:t>RH, Ministarstvo prostornoga uređenja, graditeljstva i državne imovine</w:t>
            </w:r>
          </w:p>
        </w:tc>
        <w:tc>
          <w:tcPr>
            <w:tcW w:w="691" w:type="pct"/>
            <w:vAlign w:val="center"/>
          </w:tcPr>
          <w:p w14:paraId="764AF514" w14:textId="77777777" w:rsidR="00783275" w:rsidRDefault="00000000">
            <w:r>
              <w:t>30.01.2025.</w:t>
            </w:r>
          </w:p>
        </w:tc>
        <w:tc>
          <w:tcPr>
            <w:tcW w:w="634" w:type="pct"/>
            <w:vAlign w:val="center"/>
          </w:tcPr>
          <w:p w14:paraId="34A8FAB3" w14:textId="77777777" w:rsidR="00783275" w:rsidRDefault="00000000">
            <w:r>
              <w:t>20.000,00</w:t>
            </w:r>
          </w:p>
        </w:tc>
      </w:tr>
      <w:tr w:rsidR="00783275" w14:paraId="1F4062D4" w14:textId="77777777">
        <w:tc>
          <w:tcPr>
            <w:tcW w:w="625" w:type="pct"/>
            <w:vAlign w:val="center"/>
          </w:tcPr>
          <w:p w14:paraId="7A3E6940" w14:textId="77777777" w:rsidR="00783275" w:rsidRDefault="00000000">
            <w:r>
              <w:t>Zadužnica</w:t>
            </w:r>
          </w:p>
        </w:tc>
        <w:tc>
          <w:tcPr>
            <w:tcW w:w="625" w:type="pct"/>
            <w:vAlign w:val="center"/>
          </w:tcPr>
          <w:p w14:paraId="4758B21D" w14:textId="77777777" w:rsidR="00783275" w:rsidRDefault="00000000">
            <w:r>
              <w:t>OV-358/2025</w:t>
            </w:r>
          </w:p>
        </w:tc>
        <w:tc>
          <w:tcPr>
            <w:tcW w:w="625" w:type="pct"/>
            <w:vAlign w:val="center"/>
          </w:tcPr>
          <w:p w14:paraId="30B5D1BC" w14:textId="77777777" w:rsidR="00783275" w:rsidRDefault="00000000">
            <w:r>
              <w:t>Općina Lokvičići</w:t>
            </w:r>
          </w:p>
        </w:tc>
        <w:tc>
          <w:tcPr>
            <w:tcW w:w="1799" w:type="pct"/>
            <w:vAlign w:val="center"/>
          </w:tcPr>
          <w:p w14:paraId="4A3BF2E9" w14:textId="77777777" w:rsidR="00783275" w:rsidRDefault="00000000">
            <w:r>
              <w:t>RH, Ministarstvo demografije i useljeništva</w:t>
            </w:r>
          </w:p>
        </w:tc>
        <w:tc>
          <w:tcPr>
            <w:tcW w:w="691" w:type="pct"/>
            <w:vAlign w:val="center"/>
          </w:tcPr>
          <w:p w14:paraId="78E2B7C6" w14:textId="77777777" w:rsidR="00783275" w:rsidRDefault="00000000">
            <w:r>
              <w:t>30.01.2025.</w:t>
            </w:r>
          </w:p>
        </w:tc>
        <w:tc>
          <w:tcPr>
            <w:tcW w:w="634" w:type="pct"/>
            <w:vAlign w:val="center"/>
          </w:tcPr>
          <w:p w14:paraId="2CB10CAF" w14:textId="77777777" w:rsidR="00783275" w:rsidRDefault="00000000">
            <w:r>
              <w:t>20.000,00</w:t>
            </w:r>
          </w:p>
        </w:tc>
      </w:tr>
      <w:tr w:rsidR="00783275" w14:paraId="2797F5EA" w14:textId="77777777">
        <w:tc>
          <w:tcPr>
            <w:tcW w:w="625" w:type="pct"/>
            <w:vAlign w:val="center"/>
          </w:tcPr>
          <w:p w14:paraId="041C1CE9" w14:textId="77777777" w:rsidR="00783275" w:rsidRDefault="00000000">
            <w:r>
              <w:t>Zadužnica</w:t>
            </w:r>
          </w:p>
        </w:tc>
        <w:tc>
          <w:tcPr>
            <w:tcW w:w="625" w:type="pct"/>
            <w:vAlign w:val="center"/>
          </w:tcPr>
          <w:p w14:paraId="458DCB78" w14:textId="77777777" w:rsidR="00783275" w:rsidRDefault="00000000">
            <w:r>
              <w:t>OV-1637/2025</w:t>
            </w:r>
          </w:p>
        </w:tc>
        <w:tc>
          <w:tcPr>
            <w:tcW w:w="625" w:type="pct"/>
            <w:vAlign w:val="center"/>
          </w:tcPr>
          <w:p w14:paraId="6BC3969A" w14:textId="77777777" w:rsidR="00783275" w:rsidRDefault="00000000">
            <w:r>
              <w:t>Općina Lokvičići</w:t>
            </w:r>
          </w:p>
        </w:tc>
        <w:tc>
          <w:tcPr>
            <w:tcW w:w="1799" w:type="pct"/>
            <w:vAlign w:val="center"/>
          </w:tcPr>
          <w:p w14:paraId="4975943F" w14:textId="77777777" w:rsidR="00783275" w:rsidRDefault="00000000">
            <w:r>
              <w:t>RH, Ministarstvo demografije i useljeništva</w:t>
            </w:r>
          </w:p>
        </w:tc>
        <w:tc>
          <w:tcPr>
            <w:tcW w:w="691" w:type="pct"/>
            <w:vAlign w:val="center"/>
          </w:tcPr>
          <w:p w14:paraId="3EC509EE" w14:textId="77777777" w:rsidR="00783275" w:rsidRDefault="00000000">
            <w:r>
              <w:t>23.04.2025.</w:t>
            </w:r>
          </w:p>
        </w:tc>
        <w:tc>
          <w:tcPr>
            <w:tcW w:w="634" w:type="pct"/>
            <w:vAlign w:val="center"/>
          </w:tcPr>
          <w:p w14:paraId="281ACF85" w14:textId="77777777" w:rsidR="00783275" w:rsidRDefault="00000000">
            <w:r>
              <w:t>20.000,00</w:t>
            </w:r>
          </w:p>
        </w:tc>
      </w:tr>
      <w:tr w:rsidR="00783275" w14:paraId="759FEE12" w14:textId="77777777">
        <w:tc>
          <w:tcPr>
            <w:tcW w:w="625" w:type="pct"/>
            <w:vAlign w:val="center"/>
          </w:tcPr>
          <w:p w14:paraId="0BC1C842" w14:textId="77777777" w:rsidR="00783275" w:rsidRDefault="00000000">
            <w:r>
              <w:t>Zadužnica</w:t>
            </w:r>
          </w:p>
        </w:tc>
        <w:tc>
          <w:tcPr>
            <w:tcW w:w="625" w:type="pct"/>
            <w:vAlign w:val="center"/>
          </w:tcPr>
          <w:p w14:paraId="242C52F0" w14:textId="77777777" w:rsidR="00783275" w:rsidRDefault="00000000">
            <w:r>
              <w:t>OV-1636/2025</w:t>
            </w:r>
          </w:p>
        </w:tc>
        <w:tc>
          <w:tcPr>
            <w:tcW w:w="625" w:type="pct"/>
            <w:vAlign w:val="center"/>
          </w:tcPr>
          <w:p w14:paraId="53767530" w14:textId="77777777" w:rsidR="00783275" w:rsidRDefault="00000000">
            <w:r>
              <w:t>Općina Lokvičići</w:t>
            </w:r>
          </w:p>
        </w:tc>
        <w:tc>
          <w:tcPr>
            <w:tcW w:w="1799" w:type="pct"/>
            <w:vAlign w:val="center"/>
          </w:tcPr>
          <w:p w14:paraId="027A8E87" w14:textId="77777777" w:rsidR="00783275" w:rsidRDefault="00000000">
            <w:r>
              <w:t>RH, Ministarstvo prostornoga uređenja, graditeljstva i državne imovine</w:t>
            </w:r>
          </w:p>
        </w:tc>
        <w:tc>
          <w:tcPr>
            <w:tcW w:w="691" w:type="pct"/>
            <w:vAlign w:val="center"/>
          </w:tcPr>
          <w:p w14:paraId="32BA8D96" w14:textId="77777777" w:rsidR="00783275" w:rsidRDefault="00000000">
            <w:r>
              <w:t>23.04.2025.</w:t>
            </w:r>
          </w:p>
        </w:tc>
        <w:tc>
          <w:tcPr>
            <w:tcW w:w="634" w:type="pct"/>
            <w:vAlign w:val="center"/>
          </w:tcPr>
          <w:p w14:paraId="39D68458" w14:textId="77777777" w:rsidR="00783275" w:rsidRDefault="00000000">
            <w:r>
              <w:t>75.000,00</w:t>
            </w:r>
          </w:p>
        </w:tc>
      </w:tr>
    </w:tbl>
    <w:p w14:paraId="137D1B08" w14:textId="77777777" w:rsidR="00783275" w:rsidRDefault="00000000">
      <w:r>
        <w:br/>
        <w:t>- potencijalnih obveze po osnovi sudskih sporova nema. </w:t>
      </w:r>
    </w:p>
    <w:p w14:paraId="4182CA5D" w14:textId="77777777" w:rsidR="00783275" w:rsidRDefault="00783275"/>
    <w:p w14:paraId="519A1E10" w14:textId="77777777" w:rsidR="00783275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20802235" w14:textId="77777777" w:rsidR="00783275" w:rsidRDefault="00000000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275" w14:paraId="6130FD0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AD0F49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306107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07069C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9569F0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0DE730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6B15D3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275" w14:paraId="4E32B43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677998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B07F5B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 rekreacije i sporta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12964F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1D1CC7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E5F475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93.847,29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DFF123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0A3970FD" w14:textId="77777777" w:rsidR="00783275" w:rsidRDefault="00783275">
      <w:pPr>
        <w:spacing w:after="0"/>
      </w:pPr>
    </w:p>
    <w:p w14:paraId="58B051CE" w14:textId="77777777" w:rsidR="00783275" w:rsidRDefault="00000000">
      <w:r>
        <w:t>Službe rekreacije i sporta izdaci su povećani u odnosu na prethodno razdoblje jer je u promatranom razdoblju bilo više ulaganja i izgradnju dječjih igrališta i obnove malonogometnih igrališta. </w:t>
      </w:r>
    </w:p>
    <w:p w14:paraId="7F3F3901" w14:textId="77777777" w:rsidR="00783275" w:rsidRDefault="00783275"/>
    <w:p w14:paraId="377ACE27" w14:textId="77777777" w:rsidR="00783275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275" w14:paraId="6391B4C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43927E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57F44B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43B949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280FC5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F1C1C6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A38E29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275" w14:paraId="685D904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D20AB1" w14:textId="77777777" w:rsidR="00783275" w:rsidRDefault="0078327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F1098E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Kontrolni zbroj (šifre 01+02+03+04+05+06+07+08+09+10)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0883F2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BAC264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814.288,00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C04A3F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1.052.644,61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ED3D83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129,3</w:t>
            </w:r>
          </w:p>
        </w:tc>
      </w:tr>
    </w:tbl>
    <w:p w14:paraId="6874A46B" w14:textId="77777777" w:rsidR="00783275" w:rsidRDefault="00783275">
      <w:pPr>
        <w:spacing w:after="0"/>
      </w:pPr>
    </w:p>
    <w:p w14:paraId="5DD498A7" w14:textId="77777777" w:rsidR="00783275" w:rsidRDefault="00000000">
      <w:r>
        <w:t>Kroz ovaj obrazac prikazali smo rashode proračuna u tijeku 2025. godine po funkcijskoj klasifikaciji. </w:t>
      </w:r>
    </w:p>
    <w:p w14:paraId="3FF11B34" w14:textId="77777777" w:rsidR="00783275" w:rsidRDefault="00783275"/>
    <w:p w14:paraId="1FAD803F" w14:textId="77777777" w:rsidR="00783275" w:rsidRDefault="0000000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5E1DA902" w14:textId="77777777" w:rsidR="00783275" w:rsidRDefault="00000000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83275" w14:paraId="67AC870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E98D71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E3E81D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4C85FC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BD1280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7B9F61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9E0EDA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275" w14:paraId="0DB36D9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C4FC78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167B23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7EA4A2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7EE087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785E1B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BEFB16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77ED660" w14:textId="77777777" w:rsidR="00783275" w:rsidRDefault="00783275">
      <w:pPr>
        <w:spacing w:after="0"/>
      </w:pPr>
    </w:p>
    <w:p w14:paraId="17F2E909" w14:textId="77777777" w:rsidR="00783275" w:rsidRDefault="00000000">
      <w:r>
        <w:t>U promatranom razdoblju nije bilo povećanja vrijednosti i obujma imovine.</w:t>
      </w:r>
    </w:p>
    <w:p w14:paraId="5CE2AEAC" w14:textId="77777777" w:rsidR="00783275" w:rsidRDefault="00783275"/>
    <w:p w14:paraId="7F53E35B" w14:textId="77777777" w:rsidR="00783275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50462952" w14:textId="77777777" w:rsidR="00783275" w:rsidRDefault="00000000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783275" w14:paraId="241BE7D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AC1405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88C681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340FAB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49CD91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60013A" w14:textId="77777777" w:rsidR="0078327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3275" w14:paraId="7A38A7B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9C772" w14:textId="77777777" w:rsidR="00783275" w:rsidRDefault="0078327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853DEC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A57AF2" w14:textId="77777777" w:rsidR="0078327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6A8BA1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209.325,52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7B60AD" w14:textId="77777777" w:rsidR="0078327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A87BDCC" w14:textId="77777777" w:rsidR="00783275" w:rsidRDefault="00783275">
      <w:pPr>
        <w:spacing w:after="0"/>
      </w:pPr>
    </w:p>
    <w:p w14:paraId="74892787" w14:textId="77777777" w:rsidR="00783275" w:rsidRDefault="00000000">
      <w:r>
        <w:t>Ukupne obveze Općine Lokvičići su iskazane u obrascu Obveze. Stanje obveza na kraju izvještajnog razdoblja je 277.834,90 eur. </w:t>
      </w:r>
    </w:p>
    <w:p w14:paraId="4CBE5FE0" w14:textId="77777777" w:rsidR="00783275" w:rsidRDefault="00000000">
      <w:r>
        <w:t> Nedospjele obveze iznose 68.509,38 eur,  dok dospjele obveze iznose 209.325,52 eur, koje nisu podmirene zbog nedostatka financijskih sredstava.</w:t>
      </w:r>
    </w:p>
    <w:p w14:paraId="3E70FBB4" w14:textId="77777777" w:rsidR="00783275" w:rsidRDefault="00000000">
      <w:r>
        <w:t> </w:t>
      </w:r>
    </w:p>
    <w:p w14:paraId="0F74EE60" w14:textId="77777777" w:rsidR="00783275" w:rsidRDefault="00783275"/>
    <w:p w14:paraId="13E9A561" w14:textId="77777777" w:rsidR="00783275" w:rsidRDefault="00000000">
      <w:pPr>
        <w:keepNext/>
        <w:spacing w:line="240" w:lineRule="auto"/>
        <w:jc w:val="center"/>
      </w:pPr>
      <w:r>
        <w:rPr>
          <w:sz w:val="28"/>
        </w:rPr>
        <w:t>Bilješka 42.</w:t>
      </w:r>
    </w:p>
    <w:p w14:paraId="057A3F2D" w14:textId="77777777" w:rsidR="00783275" w:rsidRDefault="00000000">
      <w:pPr>
        <w:spacing w:line="240" w:lineRule="auto"/>
        <w:jc w:val="both"/>
      </w:pPr>
      <w:r>
        <w:rPr>
          <w:b/>
        </w:rPr>
        <w:t>EU izvještaj</w:t>
      </w:r>
    </w:p>
    <w:p w14:paraId="3DD65905" w14:textId="77777777" w:rsidR="00783275" w:rsidRDefault="00000000">
      <w:r>
        <w:t>EU izvještaj se odnosi na financiranje Projekta Zaželi- Prevencija institucionalizacije, Europski socijalni fond plus- Program učinkoviti ljudski potencijali 2021.-2027.  </w:t>
      </w:r>
    </w:p>
    <w:p w14:paraId="6321ED15" w14:textId="77777777" w:rsidR="00783275" w:rsidRDefault="00783275"/>
    <w:sectPr w:rsidR="00783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75"/>
    <w:rsid w:val="00727C5D"/>
    <w:rsid w:val="00783275"/>
    <w:rsid w:val="0089559B"/>
    <w:rsid w:val="00B4174D"/>
    <w:rsid w:val="00F1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C131C"/>
  <w15:docId w15:val="{8E4BA4FB-61DC-4681-AFF6-BC311FBA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2610</Words>
  <Characters>14881</Characters>
  <Application>Microsoft Office Word</Application>
  <DocSecurity>0</DocSecurity>
  <Lines>124</Lines>
  <Paragraphs>34</Paragraphs>
  <ScaleCrop>false</ScaleCrop>
  <Company/>
  <LinksUpToDate>false</LinksUpToDate>
  <CharactersWithSpaces>17457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</dc:creator>
  <cp:lastModifiedBy>OPCINA</cp:lastModifiedBy>
  <cp:revision>3</cp:revision>
  <dcterms:created xsi:type="dcterms:W3CDTF">2026-02-05T10:16:00Z</dcterms:created>
  <dcterms:modified xsi:type="dcterms:W3CDTF">2026-02-05T10:27:00Z</dcterms:modified>
</cp:coreProperties>
</file>